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0E" w:rsidRDefault="00FB490E">
      <w:pPr>
        <w:pStyle w:val="1"/>
        <w:shd w:val="clear" w:color="auto" w:fill="auto"/>
        <w:ind w:firstLine="720"/>
        <w:jc w:val="both"/>
      </w:pPr>
      <w:r>
        <w:t xml:space="preserve">                                                                                                      Приложение</w:t>
      </w:r>
    </w:p>
    <w:p w:rsidR="00FB490E" w:rsidRDefault="00FB490E">
      <w:pPr>
        <w:pStyle w:val="1"/>
        <w:shd w:val="clear" w:color="auto" w:fill="auto"/>
        <w:ind w:firstLine="720"/>
        <w:jc w:val="both"/>
      </w:pPr>
    </w:p>
    <w:p w:rsidR="001038F7" w:rsidRDefault="003B6345">
      <w:pPr>
        <w:pStyle w:val="1"/>
        <w:shd w:val="clear" w:color="auto" w:fill="auto"/>
        <w:ind w:firstLine="720"/>
        <w:jc w:val="both"/>
      </w:pPr>
      <w:r>
        <w:t>В настоящее время выявлены многочисленные факты использования в мошеннических целях в социальных сетях и мессенджерах поддельных («зеркальных») аккаунтов руководителей органов государственной власти федерального, регионального и муниципального уровней, предприятий оборонно-промышленного комплекса (далее - организации), а также руководителей подразделений Банка России</w:t>
      </w:r>
      <w:bookmarkStart w:id="0" w:name="_GoBack"/>
      <w:bookmarkEnd w:id="0"/>
      <w:r>
        <w:t>.</w:t>
      </w:r>
    </w:p>
    <w:p w:rsidR="001038F7" w:rsidRDefault="003B6345">
      <w:pPr>
        <w:pStyle w:val="1"/>
        <w:shd w:val="clear" w:color="auto" w:fill="auto"/>
        <w:ind w:firstLine="720"/>
        <w:jc w:val="both"/>
      </w:pPr>
      <w:r>
        <w:t>Одной из распространённых схем является использование злоумышленниками поддельных аккаунтов в социальных сетях и мессенджерах для связи с сотрудниками организаций. Указанные аккаунты содержат реальные данные руководителей (фамилия, имя, отчество, фото и т.п.) и выглядят максимально достоверно.</w:t>
      </w:r>
    </w:p>
    <w:p w:rsidR="001038F7" w:rsidRDefault="003B6345">
      <w:pPr>
        <w:pStyle w:val="1"/>
        <w:shd w:val="clear" w:color="auto" w:fill="auto"/>
        <w:ind w:firstLine="720"/>
        <w:jc w:val="both"/>
      </w:pPr>
      <w:r>
        <w:t>Во всех случаях преступники действуют примерно по сходным сценариям. Сотрудник организации получает сообщение в социальной сети, мессенджере или по электронной почте якобы от своего руководителя. При этом злоумышленник обращается к сотруднику, используя его имя и отчество, чтобы вызвать доверие.</w:t>
      </w:r>
    </w:p>
    <w:p w:rsidR="001038F7" w:rsidRDefault="003B6345">
      <w:pPr>
        <w:pStyle w:val="1"/>
        <w:shd w:val="clear" w:color="auto" w:fill="auto"/>
        <w:ind w:firstLine="720"/>
        <w:jc w:val="both"/>
      </w:pPr>
      <w:r>
        <w:t>В процессе общения злоумышленник предупреждает о последующем телефонном звонке из какой-либо организации или правоохранительных органов и просит сотрудника организации никому о нем не сообщать, а после завершения - отчитаться о результатах разговора.</w:t>
      </w:r>
    </w:p>
    <w:p w:rsidR="001038F7" w:rsidRDefault="003B6345">
      <w:pPr>
        <w:pStyle w:val="1"/>
        <w:shd w:val="clear" w:color="auto" w:fill="auto"/>
        <w:ind w:firstLine="740"/>
        <w:jc w:val="both"/>
      </w:pPr>
      <w:r>
        <w:t>После этого сотруднику организации поступает звонок, в ходе которого у него могут запрашивать различную конфиденциальную информацию и вынуждать совершать противоправные действия в пользу злоумышленников.</w:t>
      </w:r>
    </w:p>
    <w:p w:rsidR="001038F7" w:rsidRDefault="003B6345">
      <w:pPr>
        <w:pStyle w:val="1"/>
        <w:shd w:val="clear" w:color="auto" w:fill="auto"/>
        <w:ind w:firstLine="740"/>
        <w:jc w:val="both"/>
      </w:pPr>
      <w:r>
        <w:t>Продолжая совершенствовать методы социальной инженерии злоумышленники в ряде случаев проводят предварительную разведку и используют информацию о потенциальных жертвах, чтобы вызвать доверие. В приведённом примере злоумышленники используют доверие сотрудников организаций к непосредственному руководителю и страх столкнуться с последствиями отказа выполнить его требования. Подобным «атакам» уже подверглись работники государственных организаций, организаций оборонно-промышленного комплекса и потребительского сегмента бизнеса, а также руководители подразделений Банка России.</w:t>
      </w:r>
    </w:p>
    <w:p w:rsidR="001038F7" w:rsidRDefault="003B6345">
      <w:pPr>
        <w:pStyle w:val="1"/>
        <w:shd w:val="clear" w:color="auto" w:fill="auto"/>
        <w:ind w:firstLine="740"/>
        <w:jc w:val="both"/>
      </w:pPr>
      <w:r>
        <w:t xml:space="preserve">С поддельных аккаунтов злоумышленниками рассылаются сообщения также и в адрес руководителей и работников других организаций с целью </w:t>
      </w:r>
      <w:r>
        <w:lastRenderedPageBreak/>
        <w:t>получения контактных данных лиц, необходимых мошенникам для дальнейшего взаимодействия и совершения противоправных действий.</w:t>
      </w:r>
    </w:p>
    <w:p w:rsidR="001038F7" w:rsidRDefault="003B6345">
      <w:pPr>
        <w:pStyle w:val="1"/>
        <w:shd w:val="clear" w:color="auto" w:fill="auto"/>
        <w:ind w:firstLine="740"/>
        <w:jc w:val="both"/>
      </w:pPr>
      <w:r>
        <w:t>Ещё одной из распространённых мошеннических схем является рассылка в социальных сетях и мессенджерах сообщений с предложением проголосовать по различным темам (участие в конкурсе, выбор музыкальной композиции, фильма и т.п.), содержащих ссылку, после перехода по которой легальный аккаунт пользователя перехватывается злоумышленниками. В этом случае необходимо при восстановлении доступа к аккаунту использовать штатные механизмы социальной сети и мессенджера.</w:t>
      </w:r>
    </w:p>
    <w:p w:rsidR="001038F7" w:rsidRDefault="003B6345">
      <w:pPr>
        <w:pStyle w:val="1"/>
        <w:shd w:val="clear" w:color="auto" w:fill="auto"/>
        <w:ind w:firstLine="740"/>
        <w:jc w:val="both"/>
      </w:pPr>
      <w:r>
        <w:t>Совершаемые злоумышленниками неправомерные действия могут повлечь следующие негативные последствия:</w:t>
      </w:r>
    </w:p>
    <w:p w:rsidR="001038F7" w:rsidRDefault="003B6345">
      <w:pPr>
        <w:pStyle w:val="1"/>
        <w:shd w:val="clear" w:color="auto" w:fill="auto"/>
        <w:ind w:left="720" w:firstLine="20"/>
        <w:jc w:val="both"/>
      </w:pPr>
      <w:r>
        <w:t xml:space="preserve">нанесение </w:t>
      </w:r>
      <w:proofErr w:type="spellStart"/>
      <w:r>
        <w:t>репутационного</w:t>
      </w:r>
      <w:proofErr w:type="spellEnd"/>
      <w:r>
        <w:t xml:space="preserve"> ущерба Банку России и организациям; снижение уровня доверия граждан к финансовым услугам.</w:t>
      </w:r>
    </w:p>
    <w:p w:rsidR="003B6345" w:rsidRDefault="003B6345" w:rsidP="003B6345">
      <w:pPr>
        <w:pStyle w:val="1"/>
        <w:shd w:val="clear" w:color="auto" w:fill="auto"/>
        <w:tabs>
          <w:tab w:val="left" w:pos="6710"/>
          <w:tab w:val="left" w:pos="7387"/>
        </w:tabs>
        <w:ind w:firstLine="740"/>
        <w:jc w:val="both"/>
      </w:pPr>
      <w:r>
        <w:t>Обращаем внимание, что в структурных подразделениях Банка России исключено применение иностранных систем видеоконференцсвязи, а также мессенджеров для взаимодействия в рамках реализации бизнес-процессов Банка России.</w:t>
      </w:r>
    </w:p>
    <w:p w:rsidR="003B6345" w:rsidRDefault="003B6345" w:rsidP="00FB490E">
      <w:pPr>
        <w:pStyle w:val="1"/>
        <w:shd w:val="clear" w:color="auto" w:fill="auto"/>
        <w:ind w:firstLine="740"/>
        <w:jc w:val="both"/>
      </w:pPr>
      <w:r>
        <w:t>Кроме того, работники Банка России для решения рабочих вопросов используют исключительно официальные каналы связи.</w:t>
      </w:r>
    </w:p>
    <w:p w:rsidR="001038F7" w:rsidRDefault="003B6345" w:rsidP="003B6345">
      <w:pPr>
        <w:pStyle w:val="1"/>
        <w:shd w:val="clear" w:color="auto" w:fill="auto"/>
        <w:tabs>
          <w:tab w:val="left" w:pos="6710"/>
          <w:tab w:val="left" w:pos="7387"/>
        </w:tabs>
        <w:ind w:firstLine="740"/>
        <w:jc w:val="both"/>
      </w:pPr>
      <w:r>
        <w:t>Предлагаем в профилактических целях</w:t>
      </w:r>
      <w:r w:rsidRPr="003B6345">
        <w:t>,</w:t>
      </w:r>
      <w:r>
        <w:t xml:space="preserve"> при выявлении подобных случаев сообщать о них в Банк России. </w:t>
      </w:r>
    </w:p>
    <w:p w:rsidR="003B6345" w:rsidRDefault="003B6345">
      <w:pPr>
        <w:pStyle w:val="1"/>
        <w:shd w:val="clear" w:color="auto" w:fill="auto"/>
        <w:spacing w:line="240" w:lineRule="auto"/>
        <w:ind w:firstLine="0"/>
        <w:jc w:val="both"/>
      </w:pPr>
    </w:p>
    <w:p w:rsidR="003B6345" w:rsidRDefault="003B6345">
      <w:pPr>
        <w:pStyle w:val="1"/>
        <w:shd w:val="clear" w:color="auto" w:fill="auto"/>
        <w:spacing w:line="240" w:lineRule="auto"/>
        <w:ind w:firstLine="0"/>
        <w:jc w:val="both"/>
      </w:pPr>
    </w:p>
    <w:sectPr w:rsidR="003B6345">
      <w:headerReference w:type="default" r:id="rId6"/>
      <w:headerReference w:type="first" r:id="rId7"/>
      <w:pgSz w:w="11900" w:h="16840"/>
      <w:pgMar w:top="1247" w:right="796" w:bottom="1063" w:left="164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06" w:rsidRDefault="003B6345">
      <w:r>
        <w:separator/>
      </w:r>
    </w:p>
  </w:endnote>
  <w:endnote w:type="continuationSeparator" w:id="0">
    <w:p w:rsidR="00FD1506" w:rsidRDefault="003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F7" w:rsidRDefault="001038F7"/>
  </w:footnote>
  <w:footnote w:type="continuationSeparator" w:id="0">
    <w:p w:rsidR="001038F7" w:rsidRDefault="00103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F7" w:rsidRDefault="003B63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474980</wp:posOffset>
              </wp:positionV>
              <wp:extent cx="7620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38F7" w:rsidRDefault="003B634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490E" w:rsidRPr="00FB490E">
                            <w:rPr>
                              <w:noProof/>
                              <w:sz w:val="24"/>
                              <w:szCs w:val="24"/>
                              <w:lang w:val="en-US" w:eastAsia="en-US" w:bidi="en-US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5.7pt;margin-top:37.4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" filled="f" stroked="f">
              <v:textbox style="mso-fit-shape-to-text:t" inset="0,0,0,0">
                <w:txbxContent>
                  <w:p w:rsidR="001038F7" w:rsidRDefault="003B634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490E" w:rsidRPr="00FB490E">
                      <w:rPr>
                        <w:noProof/>
                        <w:sz w:val="24"/>
                        <w:szCs w:val="24"/>
                        <w:lang w:val="en-US" w:eastAsia="en-US" w:bidi="en-US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F7" w:rsidRDefault="001038F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F7"/>
    <w:rsid w:val="001038F7"/>
    <w:rsid w:val="003B6345"/>
    <w:rsid w:val="00FB490E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18727"/>
  <w15:docId w15:val="{C139A23C-EED1-4211-A447-BD57515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B6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345"/>
    <w:rPr>
      <w:color w:val="000000"/>
    </w:rPr>
  </w:style>
  <w:style w:type="paragraph" w:styleId="a6">
    <w:name w:val="footer"/>
    <w:basedOn w:val="a"/>
    <w:link w:val="a7"/>
    <w:uiPriority w:val="99"/>
    <w:unhideWhenUsed/>
    <w:rsid w:val="003B6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3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БАНКА РОССИЙСКОЙ ФЕДЕРАЦИИ</dc:title>
  <dc:subject/>
  <dc:creator>kep2</dc:creator>
  <cp:keywords/>
  <cp:lastModifiedBy>Зонов Игорь Борисович</cp:lastModifiedBy>
  <cp:revision>3</cp:revision>
  <dcterms:created xsi:type="dcterms:W3CDTF">2023-10-20T10:16:00Z</dcterms:created>
  <dcterms:modified xsi:type="dcterms:W3CDTF">2023-10-23T08:15:00Z</dcterms:modified>
</cp:coreProperties>
</file>