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A83A6E" w:rsidRDefault="00A83A6E" w:rsidP="00A83A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A6E" w:rsidRDefault="00A83A6E" w:rsidP="00A83A6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83A6E" w:rsidRDefault="0046242F" w:rsidP="00A83A6E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01.02.2023</w:t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  <w:t xml:space="preserve">           </w:t>
      </w:r>
      <w:r w:rsidR="00A83A6E">
        <w:rPr>
          <w:rFonts w:ascii="Times New Roman" w:hAnsi="Times New Roman"/>
        </w:rPr>
        <w:tab/>
        <w:t xml:space="preserve"> </w:t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  <w:t xml:space="preserve"> </w:t>
      </w:r>
      <w:r w:rsidR="00A83A6E"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21</w:t>
      </w:r>
    </w:p>
    <w:p w:rsidR="00A83A6E" w:rsidRPr="00AF7A50" w:rsidRDefault="00A83A6E" w:rsidP="00A83A6E">
      <w:pPr>
        <w:pStyle w:val="2"/>
        <w:jc w:val="center"/>
        <w:rPr>
          <w:rFonts w:ascii="Times New Roman" w:hAnsi="Times New Roman"/>
          <w:i w:val="0"/>
        </w:rPr>
      </w:pPr>
      <w:r w:rsidRPr="00AF7A50">
        <w:rPr>
          <w:rFonts w:ascii="Times New Roman" w:hAnsi="Times New Roman"/>
          <w:i w:val="0"/>
        </w:rPr>
        <w:t xml:space="preserve">г. </w:t>
      </w:r>
      <w:proofErr w:type="spellStart"/>
      <w:r w:rsidRPr="00AF7A50">
        <w:rPr>
          <w:rFonts w:ascii="Times New Roman" w:hAnsi="Times New Roman"/>
          <w:i w:val="0"/>
        </w:rPr>
        <w:t>Малмыж</w:t>
      </w:r>
      <w:proofErr w:type="spellEnd"/>
    </w:p>
    <w:p w:rsidR="00A83A6E" w:rsidRDefault="00A83A6E" w:rsidP="00A83A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83A6E" w:rsidRPr="0052438B" w:rsidRDefault="00A83A6E" w:rsidP="00A83A6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городского поселения от 27.12.2022 № 24</w:t>
      </w:r>
      <w:r w:rsidR="008F7F63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7</w:t>
      </w:r>
    </w:p>
    <w:p w:rsidR="00A83A6E" w:rsidRDefault="00A83A6E" w:rsidP="00A83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A6E" w:rsidRPr="00AF7A50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 на основании протеста прокуратуры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от 27.01.2023 года № 02-03-2023/Прдп1</w:t>
      </w:r>
      <w:r w:rsid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-23-</w:t>
      </w:r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20330015, администрация </w:t>
      </w:r>
      <w:proofErr w:type="spellStart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 w:rsidRPr="00AF7A50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A83A6E" w:rsidRPr="008F7F63" w:rsidRDefault="00A83A6E" w:rsidP="008F7F6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AF7A50">
        <w:rPr>
          <w:rFonts w:ascii="Times New Roman" w:hAnsi="Times New Roman"/>
          <w:lang w:eastAsia="ru-RU"/>
        </w:rPr>
        <w:tab/>
      </w:r>
      <w:r w:rsidRPr="008F7F63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8F7F63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8F7F63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от 27.12.2022 № 24</w:t>
      </w:r>
      <w:r w:rsidR="008F7F63" w:rsidRPr="008F7F63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8F7F6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 на 2023 год</w:t>
      </w:r>
      <w:r w:rsidRPr="008F7F63">
        <w:rPr>
          <w:rFonts w:ascii="Times New Roman" w:hAnsi="Times New Roman"/>
          <w:sz w:val="28"/>
          <w:szCs w:val="28"/>
          <w:lang w:eastAsia="ru-RU"/>
        </w:rPr>
        <w:t>»:</w:t>
      </w:r>
    </w:p>
    <w:p w:rsidR="00A83A6E" w:rsidRPr="008F7F63" w:rsidRDefault="00A83A6E" w:rsidP="008F7F6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F7F63">
        <w:rPr>
          <w:rFonts w:ascii="Times New Roman" w:hAnsi="Times New Roman"/>
          <w:sz w:val="28"/>
          <w:szCs w:val="28"/>
          <w:lang w:eastAsia="ru-RU"/>
        </w:rPr>
        <w:tab/>
      </w:r>
      <w:r w:rsidRPr="008F7F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F7F63" w:rsidRPr="008F7F63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proofErr w:type="spellStart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="008F7F63" w:rsidRPr="008F7F6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 </w:t>
      </w:r>
      <w:r w:rsidR="008F7F63" w:rsidRPr="008F7F63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на 2023 год</w:t>
      </w:r>
      <w:r w:rsidR="008F7F63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 </w:t>
      </w:r>
      <w:r w:rsidRPr="008F7F63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дополнить профилактическим мероприятием – профилактический визит, согласно приложению.</w:t>
      </w:r>
    </w:p>
    <w:p w:rsidR="00A83A6E" w:rsidRDefault="00A83A6E" w:rsidP="00A83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D2983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ab/>
        <w:t xml:space="preserve">3. Контроль за исполнением настоящего постановления оставляю за собой. 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>4. Настоящее постановление вступает в силу со дня официального опубликования.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A83A6E" w:rsidRDefault="00A83A6E" w:rsidP="00A83A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поселения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42F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.М. Алёшкина</w:t>
      </w: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42F" w:rsidRDefault="0046242F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A83A6E" w:rsidTr="00E34D6F">
        <w:tc>
          <w:tcPr>
            <w:tcW w:w="4285" w:type="dxa"/>
            <w:hideMark/>
          </w:tcPr>
          <w:p w:rsidR="00A83A6E" w:rsidRDefault="00A83A6E" w:rsidP="00E34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83A6E" w:rsidRDefault="00A83A6E" w:rsidP="00E34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83A6E" w:rsidRDefault="00A83A6E" w:rsidP="0046242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                            от </w:t>
            </w:r>
            <w:r w:rsidR="0046242F">
              <w:rPr>
                <w:rFonts w:ascii="Times New Roman" w:hAnsi="Times New Roman"/>
                <w:sz w:val="28"/>
                <w:szCs w:val="28"/>
              </w:rPr>
              <w:t xml:space="preserve">01.02.2023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6242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3A6E" w:rsidRPr="0052438B" w:rsidTr="0046242F">
        <w:tc>
          <w:tcPr>
            <w:tcW w:w="5000" w:type="pct"/>
            <w:shd w:val="clear" w:color="auto" w:fill="FFFFFF"/>
            <w:hideMark/>
          </w:tcPr>
          <w:p w:rsidR="00A83A6E" w:rsidRPr="00B16C82" w:rsidRDefault="00A83A6E" w:rsidP="00B16C8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8F7F63" w:rsidRPr="00B16C82" w:rsidTr="0046242F">
              <w:tc>
                <w:tcPr>
                  <w:tcW w:w="4530" w:type="dxa"/>
                </w:tcPr>
                <w:p w:rsidR="008F7F63" w:rsidRPr="00B16C82" w:rsidRDefault="008F7F63" w:rsidP="00B16C82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Приложение</w:t>
                  </w:r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br/>
                  </w:r>
                  <w:r w:rsidRPr="00B16C8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к Программе профилактики рисков причинения вреда (ущерба)</w:t>
                  </w:r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br/>
                  </w:r>
                  <w:r w:rsidRPr="00B16C8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охраняемым законом ценностям в сфере муниципального жилищного контроля на территории муниципального образования </w:t>
                  </w:r>
                  <w:proofErr w:type="spellStart"/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Малмыжское</w:t>
                  </w:r>
                  <w:proofErr w:type="spellEnd"/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городское поселение </w:t>
                  </w:r>
                  <w:proofErr w:type="spellStart"/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Малмыжского</w:t>
                  </w:r>
                  <w:proofErr w:type="spellEnd"/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района Кировской области </w:t>
                  </w:r>
                  <w:r w:rsidRPr="00B16C82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на 2023 год</w:t>
                  </w:r>
                </w:p>
                <w:p w:rsidR="008F7F63" w:rsidRPr="00B16C82" w:rsidRDefault="008F7F63" w:rsidP="00B16C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7F63" w:rsidRPr="00A12B16" w:rsidRDefault="008F7F63" w:rsidP="00A12B1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A12B16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План мероприятий по профилактике нарушений жилищного законодательства на территории муниципального образования </w:t>
            </w:r>
            <w:proofErr w:type="spellStart"/>
            <w:r w:rsidRPr="00A12B16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>Малмыжское</w:t>
            </w:r>
            <w:proofErr w:type="spellEnd"/>
            <w:r w:rsidRPr="00A12B16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A12B16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A12B16">
              <w:rPr>
                <w:rFonts w:ascii="Times New Roman" w:eastAsia="Times New Roman" w:hAnsi="Times New Roman"/>
                <w:b/>
                <w:color w:val="010101"/>
                <w:sz w:val="28"/>
                <w:szCs w:val="28"/>
                <w:lang w:eastAsia="ru-RU"/>
              </w:rPr>
              <w:t xml:space="preserve"> района Кировской области </w:t>
            </w:r>
            <w:r w:rsidRPr="00A12B16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на 2023 год</w:t>
            </w:r>
          </w:p>
          <w:p w:rsidR="00A83A6E" w:rsidRPr="00B16C82" w:rsidRDefault="00A83A6E" w:rsidP="00B16C8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206" w:type="dxa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867"/>
              <w:gridCol w:w="3527"/>
              <w:gridCol w:w="2292"/>
              <w:gridCol w:w="1127"/>
            </w:tblGrid>
            <w:tr w:rsidR="00A83A6E" w:rsidRPr="00B16C82" w:rsidTr="0046242F">
              <w:tc>
                <w:tcPr>
                  <w:tcW w:w="3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186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352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229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112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Срок испо</w:t>
                  </w:r>
                  <w:bookmarkStart w:id="1" w:name="_GoBack"/>
                  <w:bookmarkEnd w:id="1"/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лнения</w:t>
                  </w:r>
                </w:p>
              </w:tc>
            </w:tr>
            <w:tr w:rsidR="00A83A6E" w:rsidRPr="00B16C82" w:rsidTr="0046242F">
              <w:tc>
                <w:tcPr>
                  <w:tcW w:w="3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186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ind w:right="17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Профилакти</w:t>
                  </w:r>
                  <w:r w:rsidR="004624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ческий</w:t>
                  </w:r>
                  <w:proofErr w:type="spellEnd"/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визит </w:t>
                  </w:r>
                </w:p>
              </w:tc>
              <w:tc>
                <w:tcPr>
                  <w:tcW w:w="352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F7F63" w:rsidRPr="00B16C82" w:rsidRDefault="008F7F63" w:rsidP="00A12B16">
                  <w:pPr>
                    <w:ind w:right="7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ведущий специалист по имущественным вопросам</w:t>
                  </w:r>
                  <w:r w:rsidRPr="00B16C82">
                    <w:rPr>
                      <w:rFonts w:ascii="Times New Roman" w:hAnsi="Times New Roman"/>
                      <w:color w:val="010101"/>
                      <w:sz w:val="28"/>
                      <w:szCs w:val="28"/>
                    </w:rPr>
                    <w:t xml:space="preserve"> </w:t>
                  </w:r>
                  <w:r w:rsidRPr="00B16C82">
                    <w:rPr>
                      <w:rFonts w:ascii="Times New Roman" w:hAnsi="Times New Roman"/>
                      <w:sz w:val="28"/>
                      <w:szCs w:val="28"/>
                    </w:rPr>
                    <w:t>проводит</w:t>
                  </w:r>
                  <w:r w:rsidR="005D1351" w:rsidRP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профилактический </w:t>
                  </w:r>
                  <w:proofErr w:type="gramStart"/>
                  <w:r w:rsidR="005D1351" w:rsidRP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визит </w:t>
                  </w:r>
                  <w:r w:rsidRP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      </w:r>
                  <w:r w:rsid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Продолжительность профилактического визита составляет не более двух часов в течение рабочего дня. Профилактические </w:t>
                  </w:r>
                  <w:r w:rsidRPr="00B16C8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визиты проводятся по согласованию с контролируемыми лицами.</w:t>
                  </w:r>
                  <w:r w:rsid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</w:t>
                  </w:r>
                  <w:r w:rsidR="00B16C82"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едущий специалист по имущественным вопросам</w:t>
                  </w:r>
                  <w:r w:rsidR="00B16C82" w:rsidRPr="00B16C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16C82">
                    <w:rPr>
                      <w:rFonts w:ascii="Times New Roman" w:hAnsi="Times New Roman"/>
                      <w:sz w:val="28"/>
                      <w:szCs w:val="28"/>
                    </w:rPr>
                    <w:t>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      </w:r>
                </w:p>
                <w:p w:rsidR="00B16C82" w:rsidRDefault="008F7F63" w:rsidP="00B16C82">
                  <w:pPr>
                    <w:pStyle w:val="ConsPlusTitle"/>
                    <w:contextualSpacing/>
                    <w:jc w:val="both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B16C82">
                    <w:rPr>
                      <w:b w:val="0"/>
                      <w:sz w:val="28"/>
                      <w:szCs w:val="28"/>
                    </w:rPr>
      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не позднее, чем за три рабочих дня до даты его проведения.</w:t>
                  </w:r>
                </w:p>
                <w:p w:rsidR="00B16C82" w:rsidRDefault="008F7F63" w:rsidP="0046242F">
                  <w:pPr>
                    <w:pStyle w:val="ConsPlusTitle"/>
                    <w:ind w:left="233"/>
                    <w:contextualSpacing/>
                    <w:jc w:val="both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B16C82">
                    <w:rPr>
                      <w:b w:val="0"/>
                      <w:sz w:val="28"/>
                      <w:szCs w:val="28"/>
                    </w:rPr>
                    <w:t xml:space="preserve">По итогам профилактического визита </w:t>
                  </w:r>
                  <w:r w:rsidR="00B16C82" w:rsidRPr="00B16C82">
                    <w:rPr>
                      <w:b w:val="0"/>
                      <w:color w:val="010101"/>
                      <w:sz w:val="28"/>
                      <w:szCs w:val="28"/>
                    </w:rPr>
                    <w:t>ведущий специалист по имущественным вопросам</w:t>
                  </w:r>
                  <w:r w:rsidR="00B16C82" w:rsidRPr="00B16C82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B16C82">
                    <w:rPr>
                      <w:b w:val="0"/>
                      <w:sz w:val="28"/>
                      <w:szCs w:val="28"/>
                    </w:rPr>
                    <w:t>составляет акт о проведении профилактического визита, форма которого утверждается Контрольным органом.</w:t>
                  </w:r>
                </w:p>
                <w:p w:rsidR="00A83A6E" w:rsidRPr="00B16C82" w:rsidRDefault="008F7F63" w:rsidP="00B16C82">
                  <w:pPr>
                    <w:pStyle w:val="ConsPlusTitle"/>
                    <w:contextualSpacing/>
                    <w:jc w:val="both"/>
                    <w:outlineLvl w:val="1"/>
                    <w:rPr>
                      <w:b w:val="0"/>
                    </w:rPr>
                  </w:pPr>
                  <w:r w:rsidRPr="00B16C82">
                    <w:rPr>
                      <w:b w:val="0"/>
                      <w:sz w:val="28"/>
                      <w:szCs w:val="28"/>
                    </w:rPr>
                    <w:t>Контрольный орган осуществляет учет проведенных профилактических визитов.</w:t>
                  </w:r>
                </w:p>
              </w:tc>
              <w:tc>
                <w:tcPr>
                  <w:tcW w:w="229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8F7F63" w:rsidP="00B16C82">
                  <w:pPr>
                    <w:ind w:left="193" w:right="108"/>
                    <w:jc w:val="both"/>
                    <w:rPr>
                      <w:rFonts w:ascii="Times New Roman" w:hAnsi="Times New Roman"/>
                    </w:rPr>
                  </w:pPr>
                  <w:r w:rsidRPr="00B16C82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ведущий специалист по имущественным вопросам</w:t>
                  </w:r>
                </w:p>
              </w:tc>
              <w:tc>
                <w:tcPr>
                  <w:tcW w:w="112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B16C82" w:rsidRDefault="00A83A6E" w:rsidP="00B16C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16C8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</w:tbl>
          <w:p w:rsidR="00A83A6E" w:rsidRPr="00B16C82" w:rsidRDefault="00A83A6E" w:rsidP="00B16C8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3A6E" w:rsidRPr="0052438B" w:rsidTr="0046242F">
        <w:tc>
          <w:tcPr>
            <w:tcW w:w="5000" w:type="pct"/>
            <w:shd w:val="clear" w:color="auto" w:fill="FFFFFF"/>
          </w:tcPr>
          <w:p w:rsidR="00A83A6E" w:rsidRPr="00A83A6E" w:rsidRDefault="00A83A6E" w:rsidP="00E34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A83A6E" w:rsidRPr="0052438B" w:rsidRDefault="00A83A6E" w:rsidP="00A83A6E">
      <w:pPr>
        <w:rPr>
          <w:rFonts w:ascii="Times New Roman" w:hAnsi="Times New Roman"/>
          <w:sz w:val="28"/>
          <w:szCs w:val="28"/>
        </w:rPr>
      </w:pPr>
    </w:p>
    <w:p w:rsidR="00A83A6E" w:rsidRPr="0052438B" w:rsidRDefault="00A83A6E" w:rsidP="00A83A6E">
      <w:pPr>
        <w:rPr>
          <w:rFonts w:ascii="Times New Roman" w:hAnsi="Times New Roman"/>
          <w:sz w:val="28"/>
          <w:szCs w:val="28"/>
        </w:rPr>
      </w:pPr>
    </w:p>
    <w:p w:rsidR="00A83A6E" w:rsidRDefault="00A83A6E" w:rsidP="00A83A6E"/>
    <w:p w:rsidR="00357789" w:rsidRDefault="00357789"/>
    <w:sectPr w:rsidR="00357789" w:rsidSect="004624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E"/>
    <w:rsid w:val="00357789"/>
    <w:rsid w:val="0046242F"/>
    <w:rsid w:val="005D1351"/>
    <w:rsid w:val="008F7F63"/>
    <w:rsid w:val="00A12B16"/>
    <w:rsid w:val="00A83A6E"/>
    <w:rsid w:val="00B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F1E2"/>
  <w15:chartTrackingRefBased/>
  <w15:docId w15:val="{C9AF7626-8848-42CA-99B2-7761A3C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6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83A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3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A6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3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A83A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A6E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3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83A6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83A6E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rsid w:val="00A83A6E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A83A6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8F7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locked/>
    <w:rsid w:val="008F7F6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dcterms:created xsi:type="dcterms:W3CDTF">2023-02-03T13:58:00Z</dcterms:created>
  <dcterms:modified xsi:type="dcterms:W3CDTF">2023-02-08T14:05:00Z</dcterms:modified>
</cp:coreProperties>
</file>